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A9B9" w14:textId="172BD902" w:rsidR="00552F18" w:rsidRDefault="00552F18" w:rsidP="001A4C03">
      <w:pPr>
        <w:pageBreakBefore/>
        <w:suppressAutoHyphens/>
        <w:spacing w:after="0" w:line="240" w:lineRule="auto"/>
        <w:rPr>
          <w:rFonts w:ascii="Tahoma" w:eastAsia="Arial Unicode MS" w:hAnsi="Tahoma" w:cs="Tahoma"/>
          <w:b/>
          <w:bCs/>
          <w:kern w:val="2"/>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5D6AB347" w14:textId="6FE24609" w:rsidR="009D5676"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sidRPr="00007B2E">
        <w:rPr>
          <w:rFonts w:ascii="Tahoma" w:hAnsi="Tahoma" w:cs="Tahoma"/>
          <w:b/>
          <w:sz w:val="20"/>
          <w:szCs w:val="20"/>
          <w:lang w:eastAsia="ar-SA"/>
        </w:rPr>
        <w:t>OGGETTO</w:t>
      </w:r>
      <w:r w:rsidRPr="00007B2E">
        <w:rPr>
          <w:rFonts w:ascii="Tahoma" w:hAnsi="Tahoma" w:cs="Tahoma"/>
          <w:sz w:val="20"/>
          <w:szCs w:val="20"/>
          <w:lang w:eastAsia="ar-SA"/>
        </w:rPr>
        <w:t>:</w:t>
      </w:r>
      <w:bookmarkStart w:id="0" w:name="_Hlk140497345"/>
      <w:r w:rsidR="001A4C03">
        <w:rPr>
          <w:rFonts w:ascii="Tahoma" w:hAnsi="Tahoma" w:cs="Tahoma"/>
          <w:sz w:val="20"/>
          <w:szCs w:val="20"/>
          <w:lang w:eastAsia="ar-SA"/>
        </w:rPr>
        <w:t xml:space="preserve"> </w:t>
      </w:r>
      <w:bookmarkEnd w:id="0"/>
      <w:r w:rsidR="004E3E58" w:rsidRPr="004E3E58">
        <w:rPr>
          <w:rFonts w:ascii="Tahoma" w:hAnsi="Tahoma" w:cs="Tahoma"/>
          <w:b/>
          <w:bCs/>
          <w:sz w:val="20"/>
          <w:szCs w:val="20"/>
          <w:lang w:val="de-DE" w:eastAsia="ar-SA"/>
        </w:rPr>
        <w:t xml:space="preserve">PROCEURA APERTA PER L’AFFIDAMENTO DEI LAVORI DI CUI AL PROGETTO “RECUPERO FUNZIONALE DEL SOTTOTETTO DEL CASTELLO DI PODENZANO PER LA REALIZZAZIONE DI SPAZI DI COWORKING – 1° STRALCIO. C.U.P.: C61I22000320006. CIG: </w:t>
      </w:r>
      <w:r w:rsidR="00BC78B7" w:rsidRPr="00BC78B7">
        <w:rPr>
          <w:rFonts w:ascii="Tahoma" w:hAnsi="Tahoma" w:cs="Tahoma"/>
          <w:b/>
          <w:bCs/>
          <w:sz w:val="20"/>
          <w:szCs w:val="20"/>
          <w:lang w:val="de-DE" w:eastAsia="ar-SA"/>
        </w:rPr>
        <w:t>A01D40ADC0</w:t>
      </w:r>
    </w:p>
    <w:p w14:paraId="4AAB15AB" w14:textId="62B1E352"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007B2E">
        <w:rPr>
          <w:rFonts w:ascii="Tahoma" w:eastAsia="Arial Unicode MS" w:hAnsi="Tahoma" w:cs="Tahoma"/>
          <w:b/>
          <w:bCs/>
          <w:color w:val="FF0000"/>
          <w:kern w:val="2"/>
          <w:sz w:val="20"/>
          <w:szCs w:val="20"/>
          <w:lang w:eastAsia="ar-SA"/>
        </w:rPr>
        <w:t>ISTRUZIONI PER LA COMPILAZIONE:</w:t>
      </w:r>
      <w:r w:rsidRPr="00007B2E">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w:t>
      </w:r>
      <w:r>
        <w:rPr>
          <w:rFonts w:ascii="Tahoma" w:eastAsia="Arial Unicode MS" w:hAnsi="Tahoma" w:cs="Tahoma"/>
          <w:color w:val="FF0000"/>
          <w:kern w:val="2"/>
          <w:sz w:val="20"/>
          <w:szCs w:val="20"/>
          <w:lang w:eastAsia="ar-SA"/>
        </w:rPr>
        <w:t xml:space="preserve">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operatore economico singolo;</w:t>
      </w:r>
    </w:p>
    <w:p w14:paraId="21695C0C" w14:textId="68D6ECCF"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 xml:space="preserve">capogruppo di associazione temporanea di imprese o di consorzio art. </w:t>
      </w:r>
      <w:r w:rsidR="00250B59" w:rsidRPr="00250B59">
        <w:rPr>
          <w:rFonts w:ascii="Tahoma" w:eastAsia="Times New Roman" w:hAnsi="Tahoma" w:cs="Tahoma"/>
          <w:color w:val="000000"/>
          <w:sz w:val="20"/>
          <w:szCs w:val="20"/>
        </w:rPr>
        <w:t>65</w:t>
      </w:r>
      <w:r w:rsidRPr="00250B59">
        <w:rPr>
          <w:rFonts w:ascii="Tahoma" w:eastAsia="Times New Roman" w:hAnsi="Tahoma" w:cs="Tahoma"/>
          <w:color w:val="000000"/>
          <w:sz w:val="20"/>
          <w:szCs w:val="20"/>
        </w:rPr>
        <w:t xml:space="preserve">, comma 2, lett. </w:t>
      </w:r>
      <w:r w:rsidR="00250B59" w:rsidRPr="00250B59">
        <w:rPr>
          <w:rFonts w:ascii="Tahoma" w:eastAsia="Times New Roman" w:hAnsi="Tahoma" w:cs="Tahoma"/>
          <w:color w:val="000000"/>
          <w:sz w:val="20"/>
          <w:szCs w:val="20"/>
        </w:rPr>
        <w:t>e</w:t>
      </w:r>
      <w:r w:rsidRPr="00250B59">
        <w:rPr>
          <w:rFonts w:ascii="Tahoma" w:eastAsia="Times New Roman" w:hAnsi="Tahoma" w:cs="Tahoma"/>
          <w:color w:val="000000"/>
          <w:sz w:val="20"/>
          <w:szCs w:val="20"/>
        </w:rPr>
        <w:t xml:space="preserve">) e </w:t>
      </w:r>
      <w:r w:rsidR="00250B59" w:rsidRPr="00250B59">
        <w:rPr>
          <w:rFonts w:ascii="Tahoma" w:eastAsia="Times New Roman" w:hAnsi="Tahoma" w:cs="Tahoma"/>
          <w:color w:val="000000"/>
          <w:sz w:val="20"/>
          <w:szCs w:val="20"/>
        </w:rPr>
        <w:t>f</w:t>
      </w:r>
      <w:r w:rsidRPr="00250B59">
        <w:rPr>
          <w:rFonts w:ascii="Tahoma" w:eastAsia="Times New Roman" w:hAnsi="Tahoma" w:cs="Tahoma"/>
          <w:color w:val="000000"/>
          <w:sz w:val="20"/>
          <w:szCs w:val="20"/>
        </w:rPr>
        <w:t xml:space="preserve">) del D. Lgs. n. </w:t>
      </w:r>
      <w:r w:rsidR="00250B59" w:rsidRPr="00250B59">
        <w:rPr>
          <w:rFonts w:ascii="Tahoma" w:eastAsia="Times New Roman" w:hAnsi="Tahoma" w:cs="Tahoma"/>
          <w:color w:val="000000"/>
          <w:sz w:val="20"/>
          <w:szCs w:val="20"/>
        </w:rPr>
        <w:t>36</w:t>
      </w:r>
      <w:r w:rsidRPr="00250B59">
        <w:rPr>
          <w:rFonts w:ascii="Tahoma" w:eastAsia="Times New Roman" w:hAnsi="Tahoma" w:cs="Tahoma"/>
          <w:color w:val="000000"/>
          <w:sz w:val="20"/>
          <w:szCs w:val="20"/>
        </w:rPr>
        <w:t>/20</w:t>
      </w:r>
      <w:r w:rsidR="00250B59" w:rsidRPr="00250B59">
        <w:rPr>
          <w:rFonts w:ascii="Tahoma" w:eastAsia="Times New Roman" w:hAnsi="Tahoma" w:cs="Tahoma"/>
          <w:color w:val="000000"/>
          <w:sz w:val="20"/>
          <w:szCs w:val="20"/>
        </w:rPr>
        <w:t>23</w:t>
      </w:r>
      <w:r w:rsidRPr="00250B59">
        <w:rPr>
          <w:rFonts w:ascii="Tahoma" w:eastAsia="Times New Roman" w:hAnsi="Tahoma" w:cs="Tahoma"/>
          <w:color w:val="000000"/>
          <w:sz w:val="20"/>
          <w:szCs w:val="20"/>
        </w:rPr>
        <w:t>;</w:t>
      </w:r>
    </w:p>
    <w:p w14:paraId="61FD0F80" w14:textId="77777777" w:rsidR="00552F18" w:rsidRPr="00250B59" w:rsidRDefault="00552F18" w:rsidP="00552F18">
      <w:pPr>
        <w:spacing w:before="120" w:after="120" w:line="240" w:lineRule="auto"/>
        <w:ind w:left="709"/>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lastRenderedPageBreak/>
        <w:t>□ costituendo □ già costituito</w:t>
      </w:r>
    </w:p>
    <w:p w14:paraId="2D1D99DB" w14:textId="5EA9F5F8" w:rsidR="00552F18" w:rsidRPr="007F44A1"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xml:space="preserve">mandante di Raggruppamento Temporaneo di concorrenti o di Consorzio art. </w:t>
      </w:r>
      <w:r w:rsidR="007F44A1" w:rsidRPr="007F44A1">
        <w:rPr>
          <w:rFonts w:ascii="Tahoma" w:eastAsia="Times New Roman" w:hAnsi="Tahoma" w:cs="Tahoma"/>
          <w:color w:val="000000"/>
          <w:sz w:val="20"/>
          <w:szCs w:val="20"/>
        </w:rPr>
        <w:t>6</w:t>
      </w:r>
      <w:r w:rsidRPr="007F44A1">
        <w:rPr>
          <w:rFonts w:ascii="Tahoma" w:eastAsia="Times New Roman" w:hAnsi="Tahoma" w:cs="Tahoma"/>
          <w:color w:val="000000"/>
          <w:sz w:val="20"/>
          <w:szCs w:val="20"/>
        </w:rPr>
        <w:t xml:space="preserve">5, comma 2, lett. </w:t>
      </w:r>
      <w:r w:rsidR="007F44A1" w:rsidRPr="007F44A1">
        <w:rPr>
          <w:rFonts w:ascii="Tahoma" w:eastAsia="Times New Roman" w:hAnsi="Tahoma" w:cs="Tahoma"/>
          <w:color w:val="000000"/>
          <w:sz w:val="20"/>
          <w:szCs w:val="20"/>
        </w:rPr>
        <w:t>e</w:t>
      </w:r>
      <w:r w:rsidRPr="007F44A1">
        <w:rPr>
          <w:rFonts w:ascii="Tahoma" w:eastAsia="Times New Roman" w:hAnsi="Tahoma" w:cs="Tahoma"/>
          <w:color w:val="000000"/>
          <w:sz w:val="20"/>
          <w:szCs w:val="20"/>
        </w:rPr>
        <w:t xml:space="preserve">) e </w:t>
      </w:r>
      <w:r w:rsidR="007F44A1" w:rsidRPr="007F44A1">
        <w:rPr>
          <w:rFonts w:ascii="Tahoma" w:eastAsia="Times New Roman" w:hAnsi="Tahoma" w:cs="Tahoma"/>
          <w:color w:val="000000"/>
          <w:sz w:val="20"/>
          <w:szCs w:val="20"/>
        </w:rPr>
        <w:t>f</w:t>
      </w:r>
      <w:r w:rsidRPr="007F44A1">
        <w:rPr>
          <w:rFonts w:ascii="Tahoma" w:eastAsia="Times New Roman" w:hAnsi="Tahoma" w:cs="Tahoma"/>
          <w:color w:val="000000"/>
          <w:sz w:val="20"/>
          <w:szCs w:val="20"/>
        </w:rPr>
        <w:t xml:space="preserve">) del D.Lgs. n. </w:t>
      </w:r>
      <w:r w:rsidR="007F44A1" w:rsidRPr="007F44A1">
        <w:rPr>
          <w:rFonts w:ascii="Tahoma" w:eastAsia="Times New Roman" w:hAnsi="Tahoma" w:cs="Tahoma"/>
          <w:color w:val="000000"/>
          <w:sz w:val="20"/>
          <w:szCs w:val="20"/>
        </w:rPr>
        <w:t>36</w:t>
      </w:r>
      <w:r w:rsidRPr="007F44A1">
        <w:rPr>
          <w:rFonts w:ascii="Tahoma" w:eastAsia="Times New Roman" w:hAnsi="Tahoma" w:cs="Tahoma"/>
          <w:color w:val="000000"/>
          <w:sz w:val="20"/>
          <w:szCs w:val="20"/>
        </w:rPr>
        <w:t>/20</w:t>
      </w:r>
      <w:r w:rsidR="007F44A1" w:rsidRPr="007F44A1">
        <w:rPr>
          <w:rFonts w:ascii="Tahoma" w:eastAsia="Times New Roman" w:hAnsi="Tahoma" w:cs="Tahoma"/>
          <w:color w:val="000000"/>
          <w:sz w:val="20"/>
          <w:szCs w:val="20"/>
        </w:rPr>
        <w:t>23</w:t>
      </w:r>
      <w:r w:rsidRPr="007F44A1">
        <w:rPr>
          <w:rFonts w:ascii="Tahoma" w:eastAsia="Times New Roman" w:hAnsi="Tahoma" w:cs="Tahoma"/>
          <w:color w:val="000000"/>
          <w:sz w:val="20"/>
          <w:szCs w:val="20"/>
        </w:rPr>
        <w:t>;</w:t>
      </w:r>
    </w:p>
    <w:p w14:paraId="63A4274B" w14:textId="77777777" w:rsidR="00552F18" w:rsidRPr="007F44A1" w:rsidRDefault="00552F18" w:rsidP="00552F18">
      <w:pPr>
        <w:spacing w:before="120" w:after="120" w:line="240" w:lineRule="auto"/>
        <w:ind w:left="709"/>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costituendo □ già costituito</w:t>
      </w:r>
    </w:p>
    <w:p w14:paraId="114BD997" w14:textId="533754B8"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fra società cooperative di produzione e lavoro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b) del D.Lgs. n.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5E739AB" w14:textId="44C7DB35"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tra imprese artigiane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c</w:t>
      </w:r>
      <w:r w:rsidRPr="009C15D7">
        <w:rPr>
          <w:rFonts w:ascii="Tahoma" w:eastAsia="Times New Roman" w:hAnsi="Tahoma" w:cs="Tahoma"/>
          <w:color w:val="000000"/>
          <w:sz w:val="20"/>
          <w:szCs w:val="20"/>
        </w:rPr>
        <w:t xml:space="preserve">) del D.Lgs.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329C175C" w14:textId="2293DE4E"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stabile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d</w:t>
      </w:r>
      <w:r w:rsidRPr="009C15D7">
        <w:rPr>
          <w:rFonts w:ascii="Tahoma" w:eastAsia="Times New Roman" w:hAnsi="Tahoma" w:cs="Tahoma"/>
          <w:color w:val="000000"/>
          <w:sz w:val="20"/>
          <w:szCs w:val="20"/>
        </w:rPr>
        <w:t xml:space="preserve">) del D 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938EDC7" w14:textId="77777777"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impresa designata quale consorziata esecutrice;</w:t>
      </w:r>
    </w:p>
    <w:p w14:paraId="0806BE78" w14:textId="2AE65A26" w:rsidR="00552F18" w:rsidRPr="009C15D7"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operatore economico stabilito in altro Stato membro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1, del D.Lgs.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14E6F742"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xml:space="preserve">, ai sensi dell’art. </w:t>
      </w:r>
      <w:r w:rsidR="000C42BB">
        <w:rPr>
          <w:rFonts w:ascii="Tahoma" w:eastAsia="Times New Roman" w:hAnsi="Tahoma" w:cs="Tahoma"/>
          <w:color w:val="000000"/>
          <w:sz w:val="20"/>
          <w:szCs w:val="20"/>
          <w:lang w:eastAsia="ar-SA"/>
        </w:rPr>
        <w:t>94</w:t>
      </w:r>
      <w:r>
        <w:rPr>
          <w:rFonts w:ascii="Tahoma" w:eastAsia="Times New Roman" w:hAnsi="Tahoma" w:cs="Tahoma"/>
          <w:color w:val="000000"/>
          <w:sz w:val="20"/>
          <w:szCs w:val="20"/>
          <w:lang w:eastAsia="ar-SA"/>
        </w:rPr>
        <w:t xml:space="preserve">, comma 5, lett. </w:t>
      </w:r>
      <w:r w:rsidR="000C42BB">
        <w:rPr>
          <w:rFonts w:ascii="Tahoma" w:eastAsia="Times New Roman" w:hAnsi="Tahoma" w:cs="Tahoma"/>
          <w:color w:val="000000"/>
          <w:sz w:val="20"/>
          <w:szCs w:val="20"/>
          <w:lang w:eastAsia="ar-SA"/>
        </w:rPr>
        <w:t>d</w:t>
      </w:r>
      <w:r>
        <w:rPr>
          <w:rFonts w:ascii="Tahoma" w:eastAsia="Times New Roman" w:hAnsi="Tahoma" w:cs="Tahoma"/>
          <w:color w:val="000000"/>
          <w:sz w:val="20"/>
          <w:szCs w:val="20"/>
          <w:lang w:eastAsia="ar-SA"/>
        </w:rPr>
        <w:t xml:space="preserve">), e dell’art. </w:t>
      </w:r>
      <w:r w:rsidR="000C42BB">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commi</w:t>
      </w:r>
      <w:r w:rsidR="000170DD">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0E7CDA78"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w:t>
      </w:r>
      <w:r w:rsidR="004F6F61">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xml:space="preserve">, comma </w:t>
      </w:r>
      <w:r w:rsidR="004F6F61">
        <w:rPr>
          <w:rFonts w:ascii="Tahoma" w:eastAsia="Times New Roman" w:hAnsi="Tahoma" w:cs="Tahoma"/>
          <w:color w:val="000000"/>
          <w:sz w:val="20"/>
          <w:szCs w:val="20"/>
          <w:lang w:eastAsia="ar-SA"/>
        </w:rPr>
        <w:t>4</w:t>
      </w:r>
      <w:r>
        <w:rPr>
          <w:rFonts w:ascii="Tahoma" w:eastAsia="Times New Roman" w:hAnsi="Tahoma" w:cs="Tahoma"/>
          <w:color w:val="000000"/>
          <w:sz w:val="20"/>
          <w:szCs w:val="20"/>
          <w:lang w:eastAsia="ar-SA"/>
        </w:rPr>
        <w:t xml:space="preserve">, del D.Lgs.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 xml:space="preserve">.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w:t>
      </w:r>
      <w:r w:rsidR="004F6F61">
        <w:rPr>
          <w:rFonts w:ascii="Tahoma" w:eastAsia="Times New Roman" w:hAnsi="Tahoma" w:cs="Tahoma"/>
          <w:color w:val="000000"/>
          <w:sz w:val="20"/>
          <w:szCs w:val="20"/>
          <w:lang w:eastAsia="ar-SA"/>
        </w:rPr>
        <w:t>104</w:t>
      </w:r>
      <w:r>
        <w:rPr>
          <w:rFonts w:ascii="Tahoma" w:eastAsia="Times New Roman" w:hAnsi="Tahoma" w:cs="Tahoma"/>
          <w:color w:val="000000"/>
          <w:sz w:val="20"/>
          <w:szCs w:val="20"/>
          <w:lang w:eastAsia="ar-SA"/>
        </w:rPr>
        <w:t xml:space="preserve">, comma 1, del D.Lgs.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1" w:name="_Hlk20993364"/>
      <w:r>
        <w:rPr>
          <w:rFonts w:ascii="Tahoma" w:eastAsia="Times New Roman" w:hAnsi="Tahoma" w:cs="Tahoma"/>
          <w:bCs/>
          <w:kern w:val="2"/>
          <w:sz w:val="20"/>
          <w:szCs w:val="20"/>
          <w:lang w:eastAsia="ar-SA"/>
        </w:rPr>
        <w:t xml:space="preserve">(o della scadenza intermedia nel caso di consorzio) </w:t>
      </w:r>
      <w:bookmarkEnd w:id="1"/>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E1D7485" w:rsidR="00552F18" w:rsidRPr="00FF6691"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w:t>
      </w:r>
      <w:r w:rsidRPr="00FF6691">
        <w:rPr>
          <w:rFonts w:ascii="Tahoma" w:eastAsia="Times New Roman" w:hAnsi="Tahoma" w:cs="Tahoma"/>
          <w:bCs/>
          <w:kern w:val="2"/>
          <w:sz w:val="20"/>
          <w:szCs w:val="20"/>
          <w:lang w:eastAsia="ar-SA"/>
        </w:rPr>
        <w:t xml:space="preserve">________________________ per ottenere il rinnovo dell’attestazione in questione, ai sensi di quanto previsto dall’art. </w:t>
      </w:r>
      <w:r w:rsidR="00FF6691" w:rsidRPr="00FF6691">
        <w:rPr>
          <w:rFonts w:ascii="Tahoma" w:eastAsia="Times New Roman" w:hAnsi="Tahoma" w:cs="Tahoma"/>
          <w:bCs/>
          <w:kern w:val="2"/>
          <w:sz w:val="20"/>
          <w:szCs w:val="20"/>
          <w:lang w:eastAsia="ar-SA"/>
        </w:rPr>
        <w:t>16</w:t>
      </w:r>
      <w:r w:rsidRPr="00FF6691">
        <w:rPr>
          <w:rFonts w:ascii="Tahoma" w:eastAsia="Times New Roman" w:hAnsi="Tahoma" w:cs="Tahoma"/>
          <w:bCs/>
          <w:kern w:val="2"/>
          <w:sz w:val="20"/>
          <w:szCs w:val="20"/>
          <w:lang w:eastAsia="ar-SA"/>
        </w:rPr>
        <w:t>, comma 5, secondo periodo, del</w:t>
      </w:r>
      <w:r w:rsidR="00FF6691" w:rsidRPr="00FF6691">
        <w:rPr>
          <w:rFonts w:ascii="Tahoma" w:eastAsia="Times New Roman" w:hAnsi="Tahoma" w:cs="Tahoma"/>
          <w:bCs/>
          <w:kern w:val="2"/>
          <w:sz w:val="20"/>
          <w:szCs w:val="20"/>
          <w:lang w:eastAsia="ar-SA"/>
        </w:rPr>
        <w:t>l’allegato II.12 al D.lgs. 36/2023</w:t>
      </w:r>
      <w:r w:rsidRPr="00FF6691">
        <w:rPr>
          <w:rFonts w:ascii="Tahoma" w:eastAsia="Times New Roman" w:hAnsi="Tahoma" w:cs="Tahoma"/>
          <w:bCs/>
          <w:kern w:val="2"/>
          <w:sz w:val="20"/>
          <w:szCs w:val="20"/>
          <w:lang w:eastAsia="ar-SA"/>
        </w:rPr>
        <w:t xml:space="preserve">, </w:t>
      </w:r>
      <w:r w:rsidRPr="00FF6691">
        <w:rPr>
          <w:rFonts w:ascii="Tahoma" w:eastAsia="Times New Roman" w:hAnsi="Tahoma" w:cs="Tahoma"/>
          <w:bCs/>
          <w:kern w:val="2"/>
          <w:sz w:val="20"/>
          <w:szCs w:val="20"/>
          <w:u w:val="single"/>
          <w:lang w:eastAsia="ar-SA"/>
        </w:rPr>
        <w:t>come da allegato</w:t>
      </w:r>
      <w:r w:rsidRPr="00FF6691">
        <w:rPr>
          <w:rFonts w:ascii="Tahoma" w:eastAsia="Times New Roman" w:hAnsi="Tahoma" w:cs="Tahoma"/>
          <w:bCs/>
          <w:kern w:val="2"/>
          <w:sz w:val="20"/>
          <w:szCs w:val="20"/>
          <w:lang w:eastAsia="ar-SA"/>
        </w:rPr>
        <w:t>;</w:t>
      </w:r>
    </w:p>
    <w:p w14:paraId="4B7929FC" w14:textId="71D716E6"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essere consapevole che una violazione grave agli obblighi relativi </w:t>
      </w:r>
      <w:r w:rsidRPr="001E0850">
        <w:rPr>
          <w:rFonts w:ascii="Tahoma" w:eastAsia="Times New Roman" w:hAnsi="Tahoma" w:cs="Tahoma"/>
          <w:color w:val="000000"/>
          <w:sz w:val="20"/>
          <w:szCs w:val="20"/>
          <w:lang w:eastAsia="ar-SA"/>
        </w:rPr>
        <w:t xml:space="preserve">al pagamento delle imposte e tasse e dei contributi previdenziali può comportare causa di esclusione dalla gara anche qualora tale mancato pagamento non sia definitivamente accertato, ai sensi del disposto del </w:t>
      </w:r>
      <w:r w:rsidR="001E0850" w:rsidRPr="001E0850">
        <w:rPr>
          <w:rFonts w:ascii="Tahoma" w:eastAsia="Times New Roman" w:hAnsi="Tahoma" w:cs="Tahoma"/>
          <w:color w:val="000000"/>
          <w:sz w:val="20"/>
          <w:szCs w:val="20"/>
          <w:lang w:eastAsia="ar-SA"/>
        </w:rPr>
        <w:t>sesto</w:t>
      </w:r>
      <w:r w:rsidRPr="001E0850">
        <w:rPr>
          <w:rFonts w:ascii="Tahoma" w:eastAsia="Times New Roman" w:hAnsi="Tahoma" w:cs="Tahoma"/>
          <w:color w:val="000000"/>
          <w:sz w:val="20"/>
          <w:szCs w:val="20"/>
          <w:lang w:eastAsia="ar-SA"/>
        </w:rPr>
        <w:t xml:space="preserve"> comma dell'art. </w:t>
      </w:r>
      <w:r w:rsidR="001E0850" w:rsidRPr="001E0850">
        <w:rPr>
          <w:rFonts w:ascii="Tahoma" w:eastAsia="Times New Roman" w:hAnsi="Tahoma" w:cs="Tahoma"/>
          <w:color w:val="000000"/>
          <w:sz w:val="20"/>
          <w:szCs w:val="20"/>
          <w:lang w:eastAsia="ar-SA"/>
        </w:rPr>
        <w:t>94</w:t>
      </w:r>
      <w:r w:rsidRPr="001E0850">
        <w:rPr>
          <w:rFonts w:ascii="Tahoma" w:eastAsia="Times New Roman" w:hAnsi="Tahoma" w:cs="Tahoma"/>
          <w:color w:val="000000"/>
          <w:sz w:val="20"/>
          <w:szCs w:val="20"/>
          <w:lang w:eastAsia="ar-SA"/>
        </w:rPr>
        <w:t xml:space="preserve"> del Codice dei contratti pubblici;</w:t>
      </w:r>
    </w:p>
    <w:p w14:paraId="1B87405D" w14:textId="120C4976"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94, comma 1, lettera b-bis del codice dei contratti pubblici;</w:t>
      </w:r>
    </w:p>
    <w:p w14:paraId="2EBCE0DD"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111B36FB" w14:textId="00E9288E"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94, comma 5, lettera e) del Codice dei contratti pubblici;</w:t>
      </w:r>
    </w:p>
    <w:p w14:paraId="5C18FD6B"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45BEE197"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46E13107"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822A4D9" w14:textId="77777777" w:rsidR="00C32A4E" w:rsidRDefault="00C32A4E" w:rsidP="00C32A4E">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41AE15C" w14:textId="77777777" w:rsidR="00C32A4E" w:rsidRDefault="00C32A4E" w:rsidP="00C32A4E">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6448008" w14:textId="77777777" w:rsidR="00C32A4E" w:rsidRDefault="00C32A4E" w:rsidP="00C32A4E">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6D27662A" w14:textId="4CF08541" w:rsidR="00C32A4E" w:rsidRDefault="00C32A4E" w:rsidP="00C32A4E">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 xml:space="preserve">sarà la stazione appaltante a valutare se i fatti dichiarati costituiscano </w:t>
      </w:r>
      <w:r>
        <w:rPr>
          <w:rFonts w:ascii="Tahoma" w:eastAsia="Times New Roman" w:hAnsi="Tahoma" w:cs="Tahoma"/>
          <w:b/>
          <w:i/>
          <w:color w:val="000000"/>
          <w:sz w:val="20"/>
          <w:szCs w:val="20"/>
          <w:lang w:eastAsia="ar-SA"/>
        </w:rPr>
        <w:lastRenderedPageBreak/>
        <w:t>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1CC37B" w14:textId="5B391D52"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128989C1" w14:textId="0185080C" w:rsidR="00CE1399" w:rsidRPr="00CE1399" w:rsidRDefault="00CE1399" w:rsidP="00CE1399">
      <w:pPr>
        <w:numPr>
          <w:ilvl w:val="0"/>
          <w:numId w:val="2"/>
        </w:numPr>
        <w:suppressAutoHyphens/>
        <w:spacing w:after="62" w:line="240" w:lineRule="auto"/>
        <w:jc w:val="both"/>
        <w:rPr>
          <w:rFonts w:ascii="Tahoma" w:eastAsia="Times New Roman" w:hAnsi="Tahoma" w:cs="Tahoma"/>
          <w:color w:val="000000"/>
          <w:sz w:val="20"/>
          <w:szCs w:val="20"/>
          <w:lang w:eastAsia="ar-SA"/>
        </w:rPr>
      </w:pPr>
      <w:r w:rsidRPr="00CE1399">
        <w:rPr>
          <w:rFonts w:ascii="Tahoma" w:eastAsia="Times New Roman" w:hAnsi="Tahoma" w:cs="Tahoma"/>
          <w:color w:val="000000"/>
          <w:sz w:val="20"/>
          <w:szCs w:val="20"/>
          <w:lang w:eastAsia="ar-SA"/>
        </w:rPr>
        <w:t xml:space="preserve">di impegnarsi, ai sensi dell’art. 11 del D.Lgs. 36/2023, ad applicare, nell’esecuzione delle prestazioni oggetto del contratto, il contratto collettivo nazionale </w:t>
      </w:r>
      <w:r w:rsidRPr="00FF7DBB">
        <w:rPr>
          <w:rFonts w:ascii="Tahoma" w:eastAsia="Times New Roman" w:hAnsi="Tahoma" w:cs="Tahoma"/>
          <w:color w:val="000000"/>
          <w:sz w:val="20"/>
          <w:szCs w:val="20"/>
          <w:lang w:eastAsia="ar-SA"/>
        </w:rPr>
        <w:t>“Edilizia”</w:t>
      </w:r>
      <w:r w:rsidRPr="00CE1399">
        <w:rPr>
          <w:rFonts w:ascii="Tahoma" w:eastAsia="Times New Roman" w:hAnsi="Tahoma" w:cs="Tahoma"/>
          <w:color w:val="000000"/>
          <w:sz w:val="20"/>
          <w:szCs w:val="20"/>
          <w:lang w:eastAsia="ar-SA"/>
        </w:rPr>
        <w:t xml:space="preserve"> in vigore per la provincia di Piacenza per tutta la sua durata;</w:t>
      </w:r>
    </w:p>
    <w:p w14:paraId="417661D1" w14:textId="6001199E" w:rsidR="00CE1399" w:rsidRPr="00CE1399" w:rsidRDefault="00CE1399" w:rsidP="00CE1399">
      <w:pPr>
        <w:suppressAutoHyphens/>
        <w:spacing w:after="62" w:line="240" w:lineRule="auto"/>
        <w:ind w:left="360"/>
        <w:jc w:val="center"/>
        <w:rPr>
          <w:rFonts w:ascii="Tahoma" w:eastAsia="Times New Roman" w:hAnsi="Tahoma" w:cs="Tahoma"/>
          <w:color w:val="000000"/>
          <w:sz w:val="20"/>
          <w:szCs w:val="20"/>
          <w:u w:val="single"/>
          <w:lang w:eastAsia="ar-SA"/>
        </w:rPr>
      </w:pPr>
      <w:r w:rsidRPr="00CE1399">
        <w:rPr>
          <w:rFonts w:ascii="Tahoma" w:eastAsia="Times New Roman" w:hAnsi="Tahoma" w:cs="Tahoma"/>
          <w:i/>
          <w:color w:val="000000"/>
          <w:sz w:val="20"/>
          <w:szCs w:val="20"/>
          <w:u w:val="single"/>
          <w:lang w:eastAsia="ar-SA"/>
        </w:rPr>
        <w:t>oppure, in alternativa</w:t>
      </w:r>
      <w:r w:rsidRPr="00CE1399">
        <w:rPr>
          <w:rFonts w:ascii="Tahoma" w:eastAsia="Times New Roman" w:hAnsi="Tahoma" w:cs="Tahoma"/>
          <w:color w:val="000000"/>
          <w:sz w:val="20"/>
          <w:szCs w:val="20"/>
          <w:u w:val="single"/>
          <w:lang w:eastAsia="ar-SA"/>
        </w:rPr>
        <w:t>:</w:t>
      </w:r>
    </w:p>
    <w:p w14:paraId="75936B4F" w14:textId="27AE6FAA" w:rsidR="00CE1399" w:rsidRPr="00CE1399" w:rsidRDefault="00CE1399" w:rsidP="00CE1399">
      <w:pPr>
        <w:numPr>
          <w:ilvl w:val="0"/>
          <w:numId w:val="2"/>
        </w:numPr>
        <w:suppressAutoHyphens/>
        <w:spacing w:after="62" w:line="240" w:lineRule="auto"/>
        <w:jc w:val="both"/>
        <w:rPr>
          <w:rFonts w:ascii="Tahoma" w:eastAsia="Times New Roman" w:hAnsi="Tahoma" w:cs="Tahoma"/>
          <w:color w:val="000000"/>
          <w:sz w:val="20"/>
          <w:szCs w:val="20"/>
          <w:lang w:eastAsia="ar-SA"/>
        </w:rPr>
      </w:pPr>
      <w:r w:rsidRPr="00CE1399">
        <w:rPr>
          <w:rFonts w:ascii="Tahoma" w:eastAsia="Times New Roman" w:hAnsi="Tahoma" w:cs="Tahoma"/>
          <w:color w:val="000000"/>
          <w:sz w:val="20"/>
          <w:szCs w:val="20"/>
          <w:lang w:eastAsia="ar-SA"/>
        </w:rPr>
        <w:t>di applicare</w:t>
      </w:r>
      <w:r>
        <w:rPr>
          <w:rFonts w:ascii="Tahoma" w:eastAsia="Times New Roman" w:hAnsi="Tahoma" w:cs="Tahoma"/>
          <w:color w:val="000000"/>
          <w:sz w:val="20"/>
          <w:szCs w:val="20"/>
          <w:lang w:eastAsia="ar-SA"/>
        </w:rPr>
        <w:t>,</w:t>
      </w:r>
      <w:r w:rsidRPr="00CE1399">
        <w:rPr>
          <w:rFonts w:ascii="Tahoma" w:eastAsia="Times New Roman" w:hAnsi="Tahoma" w:cs="Tahoma"/>
          <w:color w:val="000000"/>
          <w:sz w:val="20"/>
          <w:szCs w:val="20"/>
          <w:lang w:eastAsia="ar-SA"/>
        </w:rPr>
        <w:t xml:space="preserve"> nell’esecuzione delle prestazioni oggetto del presente affidamento</w:t>
      </w:r>
      <w:r>
        <w:rPr>
          <w:rFonts w:ascii="Tahoma" w:eastAsia="Times New Roman" w:hAnsi="Tahoma" w:cs="Tahoma"/>
          <w:color w:val="000000"/>
          <w:sz w:val="20"/>
          <w:szCs w:val="20"/>
          <w:lang w:eastAsia="ar-SA"/>
        </w:rPr>
        <w:t>,</w:t>
      </w:r>
      <w:r w:rsidRPr="00CE1399">
        <w:rPr>
          <w:rFonts w:ascii="Tahoma" w:eastAsia="Times New Roman" w:hAnsi="Tahoma" w:cs="Tahoma"/>
          <w:color w:val="000000"/>
          <w:sz w:val="20"/>
          <w:szCs w:val="20"/>
          <w:lang w:eastAsia="ar-SA"/>
        </w:rPr>
        <w:t xml:space="preserve"> il differente contratto collettivo </w:t>
      </w:r>
      <w:r>
        <w:rPr>
          <w:rFonts w:ascii="Tahoma" w:eastAsia="Times New Roman" w:hAnsi="Tahoma" w:cs="Tahoma"/>
          <w:color w:val="000000"/>
          <w:sz w:val="20"/>
          <w:szCs w:val="20"/>
          <w:lang w:eastAsia="ar-SA"/>
        </w:rPr>
        <w:t xml:space="preserve">nazionale e territoriale </w:t>
      </w:r>
      <w:r w:rsidRPr="00CE1399">
        <w:rPr>
          <w:rFonts w:ascii="Tahoma" w:eastAsia="Times New Roman" w:hAnsi="Tahoma" w:cs="Tahoma"/>
          <w:color w:val="000000"/>
          <w:sz w:val="20"/>
          <w:szCs w:val="20"/>
          <w:lang w:eastAsia="ar-SA"/>
        </w:rPr>
        <w:t xml:space="preserve">seguente: _______________________________________________________________, che garantisce ai dipendenti le stesse tutele economiche e normative rispetto al </w:t>
      </w:r>
      <w:r>
        <w:rPr>
          <w:rFonts w:ascii="Tahoma" w:eastAsia="Times New Roman" w:hAnsi="Tahoma" w:cs="Tahoma"/>
          <w:color w:val="000000"/>
          <w:sz w:val="20"/>
          <w:szCs w:val="20"/>
          <w:lang w:eastAsia="ar-SA"/>
        </w:rPr>
        <w:t xml:space="preserve">contratto collettivo nazionale </w:t>
      </w:r>
      <w:r w:rsidRPr="00CE1399">
        <w:rPr>
          <w:rFonts w:ascii="Tahoma" w:eastAsia="Times New Roman" w:hAnsi="Tahoma" w:cs="Tahoma"/>
          <w:color w:val="000000"/>
          <w:sz w:val="20"/>
          <w:szCs w:val="20"/>
          <w:lang w:eastAsia="ar-SA"/>
        </w:rPr>
        <w:t>“</w:t>
      </w:r>
      <w:r w:rsidRPr="00FF7DBB">
        <w:rPr>
          <w:rFonts w:ascii="Tahoma" w:eastAsia="Times New Roman" w:hAnsi="Tahoma" w:cs="Tahoma"/>
          <w:color w:val="000000"/>
          <w:sz w:val="20"/>
          <w:szCs w:val="20"/>
          <w:lang w:eastAsia="ar-SA"/>
        </w:rPr>
        <w:t>Edilizia</w:t>
      </w:r>
      <w:r w:rsidRPr="00CE1399">
        <w:rPr>
          <w:rFonts w:ascii="Tahoma" w:eastAsia="Times New Roman" w:hAnsi="Tahoma" w:cs="Tahoma"/>
          <w:color w:val="000000"/>
          <w:sz w:val="20"/>
          <w:szCs w:val="20"/>
          <w:lang w:eastAsia="ar-SA"/>
        </w:rPr>
        <w:t>”</w:t>
      </w:r>
      <w:r>
        <w:rPr>
          <w:rFonts w:ascii="Tahoma" w:eastAsia="Times New Roman" w:hAnsi="Tahoma" w:cs="Tahoma"/>
          <w:color w:val="000000"/>
          <w:sz w:val="20"/>
          <w:szCs w:val="20"/>
          <w:lang w:eastAsia="ar-SA"/>
        </w:rPr>
        <w:t xml:space="preserve"> in vigore per la provincia di Piacenza, per tutta la sua durata;</w:t>
      </w:r>
    </w:p>
    <w:p w14:paraId="5510A5AA" w14:textId="6C701756" w:rsidR="00552F18" w:rsidRPr="00116258"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116258">
        <w:rPr>
          <w:rFonts w:ascii="Tahoma" w:eastAsiaTheme="minorHAnsi" w:hAnsi="Tahoma" w:cs="Tahoma"/>
          <w:color w:val="000000"/>
          <w:sz w:val="20"/>
          <w:szCs w:val="20"/>
        </w:rPr>
        <w:t>di rispettare le specifiche tecniche e le clausole contrattuali contenute nei Criteri Ambientali Minimi (</w:t>
      </w:r>
      <w:r w:rsidRPr="00116258">
        <w:rPr>
          <w:rFonts w:ascii="Tahoma" w:eastAsiaTheme="minorHAnsi" w:hAnsi="Tahoma" w:cs="Tahoma"/>
          <w:b/>
          <w:bCs/>
          <w:color w:val="000000"/>
          <w:sz w:val="20"/>
          <w:szCs w:val="20"/>
        </w:rPr>
        <w:t>CAM</w:t>
      </w:r>
      <w:r w:rsidRPr="00116258">
        <w:rPr>
          <w:rFonts w:ascii="Tahoma" w:eastAsiaTheme="minorHAnsi" w:hAnsi="Tahoma" w:cs="Tahoma"/>
          <w:color w:val="000000"/>
          <w:sz w:val="20"/>
          <w:szCs w:val="20"/>
        </w:rPr>
        <w:t>)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edilizi”</w:t>
      </w:r>
      <w:r w:rsidR="00F72515" w:rsidRPr="00116258">
        <w:rPr>
          <w:rFonts w:ascii="Tahoma" w:eastAsiaTheme="minorHAnsi" w:hAnsi="Tahoma" w:cs="Tahoma"/>
          <w:color w:val="000000"/>
          <w:sz w:val="20"/>
          <w:szCs w:val="20"/>
        </w:rPr>
        <w:t>;</w:t>
      </w:r>
    </w:p>
    <w:p w14:paraId="573EB383" w14:textId="77777777"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di essere consapevole che</w:t>
      </w:r>
      <w:r w:rsidRPr="00106EC7">
        <w:rPr>
          <w:rFonts w:ascii="Tahoma" w:hAnsi="Tahoma" w:cs="Tahoma"/>
          <w:sz w:val="20"/>
          <w:szCs w:val="20"/>
        </w:rPr>
        <w:t xml:space="preserve"> l’offerta è vincolante per </w:t>
      </w:r>
      <w:r w:rsidRPr="00106EC7">
        <w:rPr>
          <w:rFonts w:ascii="Tahoma" w:eastAsia="Times New Roman" w:hAnsi="Tahoma" w:cs="Tahoma"/>
          <w:color w:val="000000"/>
          <w:szCs w:val="20"/>
        </w:rPr>
        <w:t xml:space="preserve">180 </w:t>
      </w:r>
      <w:r w:rsidRPr="00106EC7">
        <w:rPr>
          <w:rFonts w:ascii="Tahoma" w:eastAsia="Times New Roman" w:hAnsi="Tahoma" w:cs="Tahoma"/>
          <w:color w:val="000000"/>
          <w:sz w:val="20"/>
          <w:szCs w:val="20"/>
        </w:rPr>
        <w:t>giorni dal termine ultimo per la presentazione delle offerte;</w:t>
      </w:r>
    </w:p>
    <w:p w14:paraId="1B798A39" w14:textId="188B4EB2"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 xml:space="preserve">di essere consapevole che, in caso di aggiudicazione, la stipulazione del contratto di appalto avrà luogo entro i </w:t>
      </w:r>
      <w:r w:rsidR="00106EC7" w:rsidRPr="00106EC7">
        <w:rPr>
          <w:rFonts w:ascii="Tahoma" w:eastAsia="Times New Roman" w:hAnsi="Tahoma" w:cs="Tahoma"/>
          <w:color w:val="000000"/>
          <w:sz w:val="20"/>
          <w:szCs w:val="20"/>
        </w:rPr>
        <w:t>30</w:t>
      </w:r>
      <w:r w:rsidRPr="00106EC7">
        <w:rPr>
          <w:rFonts w:ascii="Tahoma" w:eastAsia="Times New Roman" w:hAnsi="Tahoma" w:cs="Tahoma"/>
          <w:color w:val="000000"/>
          <w:szCs w:val="20"/>
        </w:rPr>
        <w:t xml:space="preserve"> </w:t>
      </w:r>
      <w:r w:rsidRPr="00106EC7">
        <w:rPr>
          <w:rFonts w:ascii="Tahoma" w:eastAsia="Times New Roman" w:hAnsi="Tahoma" w:cs="Tahoma"/>
          <w:color w:val="000000"/>
          <w:sz w:val="20"/>
          <w:szCs w:val="20"/>
        </w:rPr>
        <w:t xml:space="preserve">giorni successivi alla dichiarazione di </w:t>
      </w:r>
      <w:r w:rsidR="00106EC7" w:rsidRPr="00106EC7">
        <w:rPr>
          <w:rFonts w:ascii="Tahoma" w:eastAsia="Times New Roman" w:hAnsi="Tahoma" w:cs="Tahoma"/>
          <w:color w:val="000000"/>
          <w:sz w:val="20"/>
          <w:szCs w:val="20"/>
        </w:rPr>
        <w:t>aggiudicazione</w:t>
      </w:r>
      <w:r w:rsidRPr="00106EC7">
        <w:rPr>
          <w:rFonts w:ascii="Tahoma" w:eastAsia="Times New Roman" w:hAnsi="Tahoma" w:cs="Tahoma"/>
          <w:color w:val="000000"/>
          <w:sz w:val="20"/>
          <w:szCs w:val="20"/>
        </w:rPr>
        <w:t xml:space="preserve">, ai sensi dell’art. </w:t>
      </w:r>
      <w:r w:rsidR="00106EC7" w:rsidRPr="00106EC7">
        <w:rPr>
          <w:rFonts w:ascii="Tahoma" w:eastAsia="Times New Roman" w:hAnsi="Tahoma" w:cs="Tahoma"/>
          <w:color w:val="000000"/>
          <w:sz w:val="20"/>
          <w:szCs w:val="20"/>
        </w:rPr>
        <w:t>55</w:t>
      </w:r>
      <w:r w:rsidRPr="00106EC7">
        <w:rPr>
          <w:rFonts w:ascii="Tahoma" w:eastAsia="Times New Roman" w:hAnsi="Tahoma" w:cs="Tahoma"/>
          <w:color w:val="000000"/>
          <w:sz w:val="20"/>
          <w:szCs w:val="20"/>
        </w:rPr>
        <w:t xml:space="preserve">, comma </w:t>
      </w:r>
      <w:r w:rsidR="00106EC7" w:rsidRPr="00106EC7">
        <w:rPr>
          <w:rFonts w:ascii="Tahoma" w:eastAsia="Times New Roman" w:hAnsi="Tahoma" w:cs="Tahoma"/>
          <w:color w:val="000000"/>
          <w:sz w:val="20"/>
          <w:szCs w:val="20"/>
        </w:rPr>
        <w:t>1</w:t>
      </w:r>
      <w:r w:rsidRPr="00106EC7">
        <w:rPr>
          <w:rFonts w:ascii="Tahoma" w:eastAsia="Times New Roman" w:hAnsi="Tahoma" w:cs="Tahoma"/>
          <w:color w:val="000000"/>
          <w:sz w:val="20"/>
          <w:szCs w:val="20"/>
        </w:rPr>
        <w:t>, del Codice dei contratti pubblici;</w:t>
      </w:r>
    </w:p>
    <w:p w14:paraId="20B87A2F" w14:textId="77777777" w:rsidR="00552F18" w:rsidRPr="0088185E" w:rsidRDefault="00552F18" w:rsidP="0049386A">
      <w:pPr>
        <w:pStyle w:val="Paragrafoelenco"/>
        <w:numPr>
          <w:ilvl w:val="0"/>
          <w:numId w:val="2"/>
        </w:numPr>
        <w:spacing w:before="118" w:after="120" w:line="240" w:lineRule="auto"/>
        <w:ind w:left="357" w:hanging="357"/>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67EA5171" w14:textId="77777777" w:rsidR="00C32A4E" w:rsidRDefault="00C32A4E" w:rsidP="00C32A4E">
      <w:pPr>
        <w:suppressAutoHyphens/>
        <w:spacing w:after="0" w:line="240" w:lineRule="auto"/>
        <w:ind w:left="357"/>
        <w:contextualSpacing/>
        <w:jc w:val="both"/>
        <w:rPr>
          <w:rFonts w:ascii="Tahoma" w:eastAsia="Times New Roman" w:hAnsi="Tahoma" w:cs="Tahoma"/>
          <w:color w:val="000000"/>
          <w:sz w:val="20"/>
          <w:szCs w:val="20"/>
          <w:lang w:eastAsia="ar-SA"/>
        </w:rPr>
      </w:pPr>
    </w:p>
    <w:p w14:paraId="23433DD6" w14:textId="41AC1952" w:rsidR="00C32A4E" w:rsidRDefault="00C32A4E" w:rsidP="00C32A4E">
      <w:pPr>
        <w:numPr>
          <w:ilvl w:val="0"/>
          <w:numId w:val="2"/>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w:t>
      </w:r>
      <w:r w:rsidR="007F07BF">
        <w:rPr>
          <w:rFonts w:ascii="Tahoma" w:eastAsia="Times New Roman" w:hAnsi="Tahoma" w:cs="Tahoma"/>
          <w:color w:val="000000"/>
          <w:sz w:val="20"/>
          <w:szCs w:val="20"/>
          <w:lang w:eastAsia="ar-SA"/>
        </w:rPr>
        <w:t>94</w:t>
      </w:r>
      <w:r>
        <w:rPr>
          <w:rFonts w:ascii="Tahoma" w:eastAsia="Times New Roman" w:hAnsi="Tahoma" w:cs="Tahoma"/>
          <w:color w:val="000000"/>
          <w:sz w:val="20"/>
          <w:szCs w:val="20"/>
          <w:lang w:eastAsia="ar-SA"/>
        </w:rPr>
        <w:t xml:space="preserve">, comma 5, lettera </w:t>
      </w:r>
      <w:r w:rsidR="007F07BF">
        <w:rPr>
          <w:rFonts w:ascii="Tahoma" w:eastAsia="Times New Roman" w:hAnsi="Tahoma" w:cs="Tahoma"/>
          <w:color w:val="000000"/>
          <w:sz w:val="20"/>
          <w:szCs w:val="20"/>
          <w:lang w:eastAsia="ar-SA"/>
        </w:rPr>
        <w:t>b</w:t>
      </w:r>
      <w:r>
        <w:rPr>
          <w:rFonts w:ascii="Tahoma" w:eastAsia="Times New Roman" w:hAnsi="Tahoma" w:cs="Tahoma"/>
          <w:color w:val="000000"/>
          <w:sz w:val="20"/>
          <w:szCs w:val="20"/>
          <w:lang w:eastAsia="ar-SA"/>
        </w:rPr>
        <w:t>)</w:t>
      </w:r>
    </w:p>
    <w:p w14:paraId="65A7EFCA" w14:textId="77777777" w:rsidR="00C32A4E" w:rsidRDefault="00C32A4E" w:rsidP="00C32A4E">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4562BE40" w14:textId="17C91F96" w:rsidR="00C32A4E" w:rsidRPr="00C32A4E" w:rsidRDefault="00C32A4E" w:rsidP="00C32A4E">
      <w:pPr>
        <w:numPr>
          <w:ilvl w:val="0"/>
          <w:numId w:val="2"/>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78198AE0" w14:textId="1D5A8931" w:rsidR="00552F18" w:rsidRPr="0049386A" w:rsidRDefault="00552F18" w:rsidP="0049386A">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lang w:eastAsia="ar-SA" w:bidi="it-IT"/>
        </w:rPr>
      </w:pPr>
      <w:r w:rsidRPr="0049386A">
        <w:rPr>
          <w:rFonts w:ascii="Tahoma" w:eastAsia="Times New Roman" w:hAnsi="Tahoma" w:cs="Tahoma"/>
          <w:color w:val="000000"/>
          <w:sz w:val="20"/>
          <w:szCs w:val="20"/>
          <w:lang w:eastAsia="ar-SA" w:bidi="it-IT"/>
        </w:rPr>
        <w:t xml:space="preserve">di essere edotto degli obblighi derivanti </w:t>
      </w:r>
      <w:r w:rsidR="0049386A" w:rsidRPr="0049386A">
        <w:rPr>
          <w:rFonts w:ascii="Tahoma" w:eastAsia="Times New Roman" w:hAnsi="Tahoma" w:cs="Tahoma"/>
          <w:color w:val="000000"/>
          <w:sz w:val="20"/>
          <w:szCs w:val="20"/>
          <w:lang w:eastAsia="ar-SA" w:bidi="it-IT"/>
        </w:rPr>
        <w:t>d</w:t>
      </w:r>
      <w:r w:rsidR="0049386A">
        <w:rPr>
          <w:rFonts w:ascii="Tahoma" w:eastAsia="Times New Roman" w:hAnsi="Tahoma" w:cs="Tahoma"/>
          <w:color w:val="000000"/>
          <w:sz w:val="20"/>
          <w:szCs w:val="20"/>
          <w:lang w:eastAsia="ar-SA" w:bidi="it-IT"/>
        </w:rPr>
        <w:t>a</w:t>
      </w:r>
      <w:r w:rsidR="0049386A" w:rsidRPr="0049386A">
        <w:rPr>
          <w:rFonts w:ascii="Tahoma" w:eastAsia="Times New Roman" w:hAnsi="Tahoma" w:cs="Tahoma"/>
          <w:color w:val="000000"/>
          <w:sz w:val="20"/>
          <w:szCs w:val="20"/>
          <w:lang w:eastAsia="ar-SA" w:bidi="it-IT"/>
        </w:rPr>
        <w:t xml:space="preserve">l </w:t>
      </w:r>
      <w:r w:rsidR="00CE70D3" w:rsidRPr="00CE70D3">
        <w:rPr>
          <w:rFonts w:ascii="Tahoma" w:eastAsia="Times New Roman" w:hAnsi="Tahoma" w:cs="Tahoma"/>
          <w:color w:val="000000"/>
          <w:sz w:val="20"/>
          <w:szCs w:val="20"/>
          <w:lang w:eastAsia="ar-SA" w:bidi="it-IT"/>
        </w:rPr>
        <w:t xml:space="preserve">Codice di comportamento dei dipendenti dell’Unione Valnure e Valchero, approvato con Delibera di Giunta Unione n. 45 del 20 aprile 2023 rinvenibile al link  </w:t>
      </w:r>
      <w:hyperlink r:id="rId8" w:history="1">
        <w:r w:rsidR="00CE70D3" w:rsidRPr="002C2029">
          <w:rPr>
            <w:rStyle w:val="Collegamentoipertestuale"/>
            <w:rFonts w:ascii="Tahoma" w:eastAsia="Times New Roman" w:hAnsi="Tahoma" w:cs="Tahoma"/>
            <w:sz w:val="20"/>
            <w:szCs w:val="20"/>
            <w:lang w:eastAsia="ar-SA" w:bidi="it-IT"/>
          </w:rPr>
          <w:t>https://www.unionevalnurevalchero.it/upload/unione_valnure_valchero/documentiallegati/codice_5regole_2023_13660_1580.pdf</w:t>
        </w:r>
      </w:hyperlink>
      <w:r w:rsidR="00CE70D3">
        <w:rPr>
          <w:rFonts w:ascii="Tahoma" w:eastAsia="Times New Roman" w:hAnsi="Tahoma" w:cs="Tahoma"/>
          <w:color w:val="000000"/>
          <w:sz w:val="20"/>
          <w:szCs w:val="20"/>
          <w:lang w:eastAsia="ar-SA" w:bidi="it-IT"/>
        </w:rPr>
        <w:t xml:space="preserve"> </w:t>
      </w:r>
      <w:r w:rsidR="001B5585" w:rsidRPr="0049386A">
        <w:rPr>
          <w:rFonts w:ascii="Tahoma" w:eastAsia="Times New Roman" w:hAnsi="Tahoma" w:cs="Tahoma"/>
          <w:color w:val="000000"/>
          <w:sz w:val="20"/>
          <w:szCs w:val="20"/>
          <w:lang w:eastAsia="ar-SA" w:bidi="it-IT"/>
        </w:rPr>
        <w:t xml:space="preserve">e di impegnarsi, in caso di aggiudicazione, a osservare e far osservare ai propri dipendenti e collaboratori il suddetto codice, </w:t>
      </w:r>
      <w:r w:rsidR="001B5585" w:rsidRPr="00E259D5">
        <w:rPr>
          <w:rFonts w:ascii="Tahoma" w:eastAsia="Times New Roman" w:hAnsi="Tahoma" w:cs="Tahoma"/>
          <w:color w:val="000000"/>
          <w:sz w:val="20"/>
          <w:szCs w:val="20"/>
          <w:u w:val="single"/>
          <w:lang w:eastAsia="ar-SA" w:bidi="it-IT"/>
        </w:rPr>
        <w:t>pena la risoluzione del contratto</w:t>
      </w:r>
      <w:r w:rsidR="00380BB5">
        <w:rPr>
          <w:rFonts w:ascii="Tahoma" w:eastAsia="Times New Roman" w:hAnsi="Tahoma" w:cs="Tahoma"/>
          <w:color w:val="000000"/>
          <w:sz w:val="20"/>
          <w:szCs w:val="20"/>
          <w:lang w:eastAsia="ar-SA" w:bidi="it-IT"/>
        </w:rPr>
        <w:t xml:space="preserve"> </w:t>
      </w:r>
    </w:p>
    <w:p w14:paraId="19CE8FE0" w14:textId="77777777" w:rsidR="00070189" w:rsidRPr="00070189"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12725ACE" w14:textId="4812595E" w:rsidR="00070189" w:rsidRPr="00070189" w:rsidRDefault="00552F18" w:rsidP="00070189">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070189">
        <w:rPr>
          <w:rFonts w:ascii="Tahoma" w:eastAsia="Times New Roman" w:hAnsi="Tahoma" w:cs="Tahoma"/>
          <w:i/>
          <w:color w:val="000000"/>
          <w:sz w:val="20"/>
          <w:szCs w:val="20"/>
          <w:u w:val="single"/>
          <w:lang w:eastAsia="ar-SA"/>
        </w:rPr>
        <w:t>oppure, in alternativa</w:t>
      </w:r>
      <w:r w:rsidR="00070189" w:rsidRPr="00070189">
        <w:rPr>
          <w:rFonts w:ascii="Tahoma" w:eastAsia="Times New Roman" w:hAnsi="Tahoma" w:cs="Tahoma"/>
          <w:i/>
          <w:color w:val="000000"/>
          <w:sz w:val="20"/>
          <w:szCs w:val="20"/>
          <w:u w:val="single"/>
          <w:lang w:eastAsia="ar-SA"/>
        </w:rPr>
        <w:t>:</w:t>
      </w:r>
    </w:p>
    <w:p w14:paraId="06F1AB1D" w14:textId="237B3D79" w:rsidR="00552F18" w:rsidRPr="001A4C03" w:rsidRDefault="00070189" w:rsidP="00FC6EA3">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iscrizione </w:t>
      </w:r>
      <w:r w:rsidRPr="00070189">
        <w:rPr>
          <w:rFonts w:ascii="Tahoma" w:eastAsia="Times New Roman" w:hAnsi="Tahoma" w:cs="Tahoma"/>
          <w:color w:val="000000"/>
          <w:sz w:val="20"/>
          <w:szCs w:val="20"/>
          <w:lang w:eastAsia="ar-SA"/>
        </w:rPr>
        <w:t xml:space="preserve">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r w:rsidR="00552F18" w:rsidRPr="00070189">
        <w:rPr>
          <w:rFonts w:ascii="Tahoma" w:eastAsia="Times New Roman" w:hAnsi="Tahoma" w:cs="Tahoma"/>
          <w:color w:val="000000"/>
          <w:sz w:val="20"/>
          <w:szCs w:val="20"/>
          <w:lang w:eastAsia="ar-SA"/>
        </w:rPr>
        <w:t xml:space="preserve">(ai sensi del comma 52 dell’art. 1 della Legge 190/2012 e della </w:t>
      </w:r>
      <w:r w:rsidR="00552F18" w:rsidRPr="00070189">
        <w:rPr>
          <w:rFonts w:ascii="Tahoma" w:eastAsia="Times New Roman" w:hAnsi="Tahoma" w:cs="Tahoma"/>
          <w:color w:val="000000"/>
          <w:sz w:val="20"/>
          <w:szCs w:val="20"/>
          <w:lang w:eastAsia="ar-SA"/>
        </w:rPr>
        <w:lastRenderedPageBreak/>
        <w:t>Circolare Ministero dell’Interno prot. 25954 del 23/03/2016 e DPCM 18/04/2013, come aggiornato dal DPCM 24/11/2016)</w:t>
      </w:r>
      <w:r w:rsidR="00392D4B">
        <w:rPr>
          <w:rFonts w:ascii="Tahoma" w:eastAsia="Times New Roman" w:hAnsi="Tahoma" w:cs="Tahoma"/>
          <w:color w:val="000000"/>
          <w:sz w:val="20"/>
          <w:szCs w:val="20"/>
          <w:lang w:eastAsia="ar-SA"/>
        </w:rPr>
        <w:t>;</w:t>
      </w:r>
    </w:p>
    <w:p w14:paraId="11B00629" w14:textId="77777777" w:rsidR="001A4C03" w:rsidRPr="00D67805" w:rsidRDefault="001A4C03" w:rsidP="001A4C03">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D67805">
        <w:rPr>
          <w:rFonts w:ascii="Tahoma" w:eastAsia="Times New Roman" w:hAnsi="Tahoma" w:cs="Tahoma"/>
          <w:i/>
          <w:color w:val="000000"/>
          <w:sz w:val="20"/>
          <w:szCs w:val="20"/>
          <w:u w:val="single"/>
          <w:lang w:eastAsia="ar-SA"/>
        </w:rPr>
        <w:t>oppure, in alternativa:</w:t>
      </w:r>
    </w:p>
    <w:p w14:paraId="21722356" w14:textId="73F998C4" w:rsidR="001A4C03" w:rsidRDefault="001A4C03" w:rsidP="001A4C03">
      <w:pPr>
        <w:pStyle w:val="Paragrafoelenco"/>
        <w:numPr>
          <w:ilvl w:val="0"/>
          <w:numId w:val="2"/>
        </w:numPr>
        <w:spacing w:after="120" w:line="240" w:lineRule="auto"/>
        <w:ind w:left="357" w:hanging="357"/>
        <w:contextualSpacing w:val="0"/>
        <w:jc w:val="both"/>
        <w:rPr>
          <w:rFonts w:ascii="Tahoma" w:eastAsia="Times New Roman" w:hAnsi="Tahoma" w:cs="Tahoma"/>
          <w:bCs/>
          <w:color w:val="000000"/>
          <w:sz w:val="20"/>
          <w:szCs w:val="20"/>
          <w:lang w:eastAsia="ar-SA"/>
        </w:rPr>
      </w:pPr>
      <w:r w:rsidRPr="00D67805">
        <w:rPr>
          <w:rFonts w:ascii="Tahoma" w:eastAsia="Times New Roman" w:hAnsi="Tahoma" w:cs="Tahoma"/>
          <w:bCs/>
          <w:color w:val="000000"/>
          <w:sz w:val="20"/>
          <w:szCs w:val="20"/>
          <w:lang w:eastAsia="ar-SA"/>
        </w:rPr>
        <w:t>di essere iscritto all' Anagrafe antimafia degli esecutori istituita dall'art. 30, comma 6 del D.L. n. 189 del 2016 convertito in Legge n.229 del 2016;</w:t>
      </w:r>
    </w:p>
    <w:p w14:paraId="6D8BD22C" w14:textId="77777777" w:rsidR="00552F18" w:rsidRPr="00A643E7" w:rsidRDefault="00552F18"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7880" w14:textId="77777777" w:rsidR="006E2F2D" w:rsidRDefault="006E2F2D" w:rsidP="00A07875">
      <w:pPr>
        <w:spacing w:after="0" w:line="240" w:lineRule="auto"/>
      </w:pPr>
      <w:r>
        <w:separator/>
      </w:r>
    </w:p>
  </w:endnote>
  <w:endnote w:type="continuationSeparator" w:id="0">
    <w:p w14:paraId="2F4AC973" w14:textId="77777777" w:rsidR="006E2F2D" w:rsidRDefault="006E2F2D" w:rsidP="00A0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5704" w14:textId="77777777" w:rsidR="001A4C03" w:rsidRDefault="001A4C03">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3EB80D33" w14:textId="73F028E2" w:rsidR="00A07875" w:rsidRDefault="00A078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BFF7" w14:textId="77777777" w:rsidR="006E2F2D" w:rsidRDefault="006E2F2D" w:rsidP="00A07875">
      <w:pPr>
        <w:spacing w:after="0" w:line="240" w:lineRule="auto"/>
      </w:pPr>
      <w:r>
        <w:separator/>
      </w:r>
    </w:p>
  </w:footnote>
  <w:footnote w:type="continuationSeparator" w:id="0">
    <w:p w14:paraId="44F63F54" w14:textId="77777777" w:rsidR="006E2F2D" w:rsidRDefault="006E2F2D" w:rsidP="00A07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3"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4"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4147872"/>
    <w:multiLevelType w:val="hybridMultilevel"/>
    <w:tmpl w:val="FCC807C8"/>
    <w:lvl w:ilvl="0" w:tplc="04100001">
      <w:start w:val="1"/>
      <w:numFmt w:val="bullet"/>
      <w:lvlText w:val=""/>
      <w:lvlJc w:val="left"/>
      <w:pPr>
        <w:ind w:left="1437" w:hanging="360"/>
      </w:pPr>
      <w:rPr>
        <w:rFonts w:ascii="Symbol" w:hAnsi="Symbol" w:hint="default"/>
      </w:rPr>
    </w:lvl>
    <w:lvl w:ilvl="1" w:tplc="04100003">
      <w:start w:val="1"/>
      <w:numFmt w:val="bullet"/>
      <w:lvlText w:val="o"/>
      <w:lvlJc w:val="left"/>
      <w:pPr>
        <w:ind w:left="2157" w:hanging="360"/>
      </w:pPr>
      <w:rPr>
        <w:rFonts w:ascii="Courier New" w:hAnsi="Courier New" w:cs="Courier New" w:hint="default"/>
      </w:rPr>
    </w:lvl>
    <w:lvl w:ilvl="2" w:tplc="04100005">
      <w:start w:val="1"/>
      <w:numFmt w:val="bullet"/>
      <w:lvlText w:val=""/>
      <w:lvlJc w:val="left"/>
      <w:pPr>
        <w:ind w:left="2877" w:hanging="360"/>
      </w:pPr>
      <w:rPr>
        <w:rFonts w:ascii="Wingdings" w:hAnsi="Wingdings" w:hint="default"/>
      </w:rPr>
    </w:lvl>
    <w:lvl w:ilvl="3" w:tplc="04100001">
      <w:start w:val="1"/>
      <w:numFmt w:val="bullet"/>
      <w:lvlText w:val=""/>
      <w:lvlJc w:val="left"/>
      <w:pPr>
        <w:ind w:left="3597" w:hanging="360"/>
      </w:pPr>
      <w:rPr>
        <w:rFonts w:ascii="Symbol" w:hAnsi="Symbol" w:hint="default"/>
      </w:rPr>
    </w:lvl>
    <w:lvl w:ilvl="4" w:tplc="04100003">
      <w:start w:val="1"/>
      <w:numFmt w:val="bullet"/>
      <w:lvlText w:val="o"/>
      <w:lvlJc w:val="left"/>
      <w:pPr>
        <w:ind w:left="4317" w:hanging="360"/>
      </w:pPr>
      <w:rPr>
        <w:rFonts w:ascii="Courier New" w:hAnsi="Courier New" w:cs="Courier New" w:hint="default"/>
      </w:rPr>
    </w:lvl>
    <w:lvl w:ilvl="5" w:tplc="04100005">
      <w:start w:val="1"/>
      <w:numFmt w:val="bullet"/>
      <w:lvlText w:val=""/>
      <w:lvlJc w:val="left"/>
      <w:pPr>
        <w:ind w:left="5037" w:hanging="360"/>
      </w:pPr>
      <w:rPr>
        <w:rFonts w:ascii="Wingdings" w:hAnsi="Wingdings" w:hint="default"/>
      </w:rPr>
    </w:lvl>
    <w:lvl w:ilvl="6" w:tplc="04100001">
      <w:start w:val="1"/>
      <w:numFmt w:val="bullet"/>
      <w:lvlText w:val=""/>
      <w:lvlJc w:val="left"/>
      <w:pPr>
        <w:ind w:left="5757" w:hanging="360"/>
      </w:pPr>
      <w:rPr>
        <w:rFonts w:ascii="Symbol" w:hAnsi="Symbol" w:hint="default"/>
      </w:rPr>
    </w:lvl>
    <w:lvl w:ilvl="7" w:tplc="04100003">
      <w:start w:val="1"/>
      <w:numFmt w:val="bullet"/>
      <w:lvlText w:val="o"/>
      <w:lvlJc w:val="left"/>
      <w:pPr>
        <w:ind w:left="6477" w:hanging="360"/>
      </w:pPr>
      <w:rPr>
        <w:rFonts w:ascii="Courier New" w:hAnsi="Courier New" w:cs="Courier New" w:hint="default"/>
      </w:rPr>
    </w:lvl>
    <w:lvl w:ilvl="8" w:tplc="04100005">
      <w:start w:val="1"/>
      <w:numFmt w:val="bullet"/>
      <w:lvlText w:val=""/>
      <w:lvlJc w:val="left"/>
      <w:pPr>
        <w:ind w:left="7197" w:hanging="360"/>
      </w:pPr>
      <w:rPr>
        <w:rFonts w:ascii="Wingdings" w:hAnsi="Wingdings" w:hint="default"/>
      </w:rPr>
    </w:lvl>
  </w:abstractNum>
  <w:num w:numId="1" w16cid:durableId="1128469238">
    <w:abstractNumId w:val="1"/>
  </w:num>
  <w:num w:numId="2" w16cid:durableId="939139704">
    <w:abstractNumId w:val="4"/>
  </w:num>
  <w:num w:numId="3" w16cid:durableId="403769093">
    <w:abstractNumId w:val="3"/>
  </w:num>
  <w:num w:numId="4" w16cid:durableId="1747452782">
    <w:abstractNumId w:val="5"/>
  </w:num>
  <w:num w:numId="5" w16cid:durableId="1962031830">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6" w16cid:durableId="154521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07B2E"/>
    <w:rsid w:val="00010DE9"/>
    <w:rsid w:val="00012097"/>
    <w:rsid w:val="000170DD"/>
    <w:rsid w:val="0004777B"/>
    <w:rsid w:val="00064A2F"/>
    <w:rsid w:val="00070189"/>
    <w:rsid w:val="000C42BB"/>
    <w:rsid w:val="00106EC7"/>
    <w:rsid w:val="001104B4"/>
    <w:rsid w:val="00116258"/>
    <w:rsid w:val="0015094B"/>
    <w:rsid w:val="001966E2"/>
    <w:rsid w:val="001A4C03"/>
    <w:rsid w:val="001B5585"/>
    <w:rsid w:val="001E0850"/>
    <w:rsid w:val="00250B59"/>
    <w:rsid w:val="00251BC4"/>
    <w:rsid w:val="002764F8"/>
    <w:rsid w:val="00280D8D"/>
    <w:rsid w:val="002828A2"/>
    <w:rsid w:val="002B3E2D"/>
    <w:rsid w:val="002D08BD"/>
    <w:rsid w:val="00380BB5"/>
    <w:rsid w:val="00392D4B"/>
    <w:rsid w:val="003E6C4F"/>
    <w:rsid w:val="00400481"/>
    <w:rsid w:val="0049386A"/>
    <w:rsid w:val="004A4441"/>
    <w:rsid w:val="004E3E58"/>
    <w:rsid w:val="004E4C80"/>
    <w:rsid w:val="004F3465"/>
    <w:rsid w:val="004F6F61"/>
    <w:rsid w:val="00552F18"/>
    <w:rsid w:val="00560B27"/>
    <w:rsid w:val="00584452"/>
    <w:rsid w:val="005D34CB"/>
    <w:rsid w:val="006E2F2D"/>
    <w:rsid w:val="007227C4"/>
    <w:rsid w:val="007F07BF"/>
    <w:rsid w:val="007F44A1"/>
    <w:rsid w:val="00824392"/>
    <w:rsid w:val="008F2650"/>
    <w:rsid w:val="009325D1"/>
    <w:rsid w:val="009C15D7"/>
    <w:rsid w:val="009C2456"/>
    <w:rsid w:val="009D5676"/>
    <w:rsid w:val="009E58E2"/>
    <w:rsid w:val="00A07875"/>
    <w:rsid w:val="00AE7553"/>
    <w:rsid w:val="00B778A3"/>
    <w:rsid w:val="00BB3C5B"/>
    <w:rsid w:val="00BB7DF9"/>
    <w:rsid w:val="00BC78B7"/>
    <w:rsid w:val="00C32A4E"/>
    <w:rsid w:val="00C35436"/>
    <w:rsid w:val="00C96F21"/>
    <w:rsid w:val="00CB0F86"/>
    <w:rsid w:val="00CD4205"/>
    <w:rsid w:val="00CE1399"/>
    <w:rsid w:val="00CE70D3"/>
    <w:rsid w:val="00D17C78"/>
    <w:rsid w:val="00D35264"/>
    <w:rsid w:val="00D60140"/>
    <w:rsid w:val="00D743CB"/>
    <w:rsid w:val="00DB0D49"/>
    <w:rsid w:val="00DF4399"/>
    <w:rsid w:val="00E259D5"/>
    <w:rsid w:val="00EE7C13"/>
    <w:rsid w:val="00F0294E"/>
    <w:rsid w:val="00F24285"/>
    <w:rsid w:val="00F70D29"/>
    <w:rsid w:val="00F72515"/>
    <w:rsid w:val="00F763A7"/>
    <w:rsid w:val="00FA5F4F"/>
    <w:rsid w:val="00FC6EA3"/>
    <w:rsid w:val="00FD46DB"/>
    <w:rsid w:val="00FD52E6"/>
    <w:rsid w:val="00FF6691"/>
    <w:rsid w:val="00FF7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 w:type="character" w:styleId="Menzionenonrisolta">
    <w:name w:val="Unresolved Mention"/>
    <w:basedOn w:val="Carpredefinitoparagrafo"/>
    <w:uiPriority w:val="99"/>
    <w:semiHidden/>
    <w:unhideWhenUsed/>
    <w:rsid w:val="001B5585"/>
    <w:rPr>
      <w:color w:val="605E5C"/>
      <w:shd w:val="clear" w:color="auto" w:fill="E1DFDD"/>
    </w:rPr>
  </w:style>
  <w:style w:type="paragraph" w:styleId="Intestazione">
    <w:name w:val="header"/>
    <w:basedOn w:val="Normale"/>
    <w:link w:val="IntestazioneCarattere"/>
    <w:uiPriority w:val="99"/>
    <w:unhideWhenUsed/>
    <w:rsid w:val="00A078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875"/>
    <w:rPr>
      <w:rFonts w:ascii="Calibri" w:eastAsia="Calibri" w:hAnsi="Calibri" w:cs="Times New Roman"/>
    </w:rPr>
  </w:style>
  <w:style w:type="paragraph" w:styleId="Pidipagina">
    <w:name w:val="footer"/>
    <w:basedOn w:val="Normale"/>
    <w:link w:val="PidipaginaCarattere"/>
    <w:uiPriority w:val="99"/>
    <w:unhideWhenUsed/>
    <w:rsid w:val="00A078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8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nevalnurevalchero.it/upload/unione_valnure_valchero/documentiallegati/codice_5regole_2023_13660_1580.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2005</Words>
  <Characters>11431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Sartori, Tania</cp:lastModifiedBy>
  <cp:revision>73</cp:revision>
  <dcterms:created xsi:type="dcterms:W3CDTF">2023-03-27T09:51:00Z</dcterms:created>
  <dcterms:modified xsi:type="dcterms:W3CDTF">2023-10-13T06:43:00Z</dcterms:modified>
</cp:coreProperties>
</file>